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spacing w:line="570" w:lineRule="exact"/>
        <w:jc w:val="center"/>
        <w:rPr>
          <w:rFonts w:ascii="方正小标宋简体" w:hAnsi="华文中宋" w:eastAsia="方正小标宋简体" w:cs="华文中宋"/>
          <w:b/>
          <w:bCs/>
          <w:kern w:val="0"/>
          <w:sz w:val="44"/>
          <w:szCs w:val="44"/>
          <w:lang w:val="zh-TW"/>
        </w:rPr>
      </w:pPr>
      <w:r>
        <w:rPr>
          <w:rFonts w:hint="eastAsia" w:ascii="华文中宋" w:hAnsi="华文中宋" w:eastAsia="华文中宋" w:cs="华文中宋"/>
          <w:b/>
          <w:bCs/>
          <w:kern w:val="0"/>
          <w:sz w:val="52"/>
          <w:szCs w:val="52"/>
          <w:lang w:val="zh-TW"/>
        </w:rPr>
        <w:t>英吉沙</w:t>
      </w:r>
      <w:r>
        <w:rPr>
          <w:rFonts w:hint="eastAsia" w:ascii="华文中宋" w:hAnsi="华文中宋" w:eastAsia="华文中宋" w:cs="华文中宋"/>
          <w:b/>
          <w:bCs/>
          <w:kern w:val="0"/>
          <w:sz w:val="52"/>
          <w:szCs w:val="52"/>
          <w:lang w:val="zh-TW" w:eastAsia="zh-TW"/>
        </w:rPr>
        <w:t>县2018年就业补助项目</w:t>
      </w:r>
    </w:p>
    <w:p>
      <w:pPr>
        <w:pStyle w:val="50"/>
        <w:spacing w:line="57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绩效自评报告</w:t>
      </w:r>
    </w:p>
    <w:p>
      <w:pPr>
        <w:pStyle w:val="50"/>
        <w:spacing w:line="570" w:lineRule="exact"/>
        <w:jc w:val="center"/>
        <w:rPr>
          <w:rFonts w:ascii="华文中宋" w:hAnsi="华文中宋" w:eastAsia="华文中宋" w:cs="华文中宋"/>
          <w:b/>
          <w:bCs/>
          <w:kern w:val="0"/>
          <w:sz w:val="52"/>
          <w:szCs w:val="52"/>
        </w:rPr>
      </w:pPr>
    </w:p>
    <w:p>
      <w:pPr>
        <w:pStyle w:val="50"/>
        <w:spacing w:line="57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（一）项目单位基本情况</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根据中共喀什地委办公室、喀什地区行署办公室《关于印发〈</w:t>
      </w:r>
      <w:r>
        <w:fldChar w:fldCharType="begin"/>
      </w:r>
      <w:r>
        <w:instrText xml:space="preserve"> HYPERLINK "https://baike.baidu.com/item/%E8%8B%B1%E5%90%89%E6%B2%99%E5%8E%BF"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英吉沙县</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人民</w:t>
      </w:r>
      <w:r>
        <w:fldChar w:fldCharType="begin"/>
      </w:r>
      <w:r>
        <w:instrText xml:space="preserve"> HYPERLINK "https://baike.baidu.com/item/%E6%94%BF%E5%BA%9C%E6%9C%BA%E6%9E%84"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政府机构</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改革方案〉的通知》（喀党办发[2011]52号），设置英吉沙县人力资源和社会保障局，为英吉沙县人民政府工作部门。</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（二）项目预算绩效目标设定情况</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1．项目预期目标及阶段性目标</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 xml:space="preserve">开发35个公益性岗位，解决“就业困难人员”就近就地就业问题；                                                                                                                                                    </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2．项目基本性质</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本项目性质为新增项目。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贫困户就业补助。</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（一）项目资金安排落实、总投入等情况分析</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1．项目资金到位情况：2018年下达自治区就业专项资金39.2万元，2018年可用就业专项资金共计39.2万元。</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2．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（二）项目资金实际使用情况分析</w:t>
      </w:r>
    </w:p>
    <w:p>
      <w:pPr>
        <w:pStyle w:val="16"/>
        <w:widowControl/>
        <w:spacing w:beforeAutospacing="0" w:afterAutospacing="0" w:line="57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项目资金使用情况：全年拨付就业资金39.2万元，其中社保补贴39.2万元。</w:t>
      </w:r>
    </w:p>
    <w:p>
      <w:pPr>
        <w:numPr>
          <w:ilvl w:val="0"/>
          <w:numId w:val="1"/>
        </w:num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项目资金管理情况分析</w:t>
      </w:r>
    </w:p>
    <w:p>
      <w:pPr>
        <w:pStyle w:val="16"/>
        <w:widowControl/>
        <w:spacing w:beforeAutospacing="0" w:afterAutospacing="0" w:line="57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（一）项目组织情况分析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4个村级惠民生项目已调整到乡镇实施。</w:t>
      </w:r>
    </w:p>
    <w:p>
      <w:pPr>
        <w:numPr>
          <w:ilvl w:val="0"/>
          <w:numId w:val="2"/>
        </w:num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项目管理情况分析</w:t>
      </w:r>
    </w:p>
    <w:p>
      <w:pPr>
        <w:adjustRightInd w:val="0"/>
        <w:snapToGrid w:val="0"/>
        <w:spacing w:line="570" w:lineRule="exact"/>
        <w:ind w:firstLine="640" w:firstLineChars="200"/>
        <w:outlineLvl w:val="0"/>
        <w:rPr>
          <w:rFonts w:ascii="仿宋_GB2312" w:hAnsi="仿宋" w:eastAsia="仿宋_GB2312" w:cs="仿宋"/>
          <w:kern w:val="0"/>
          <w:sz w:val="32"/>
          <w:szCs w:val="32"/>
          <w:lang w:bidi="ar"/>
        </w:rPr>
      </w:pPr>
      <w:r>
        <w:rPr>
          <w:rFonts w:hint="eastAsia" w:ascii="仿宋_GB2312" w:hAnsi="仿宋" w:eastAsia="仿宋_GB2312" w:cs="仿宋"/>
          <w:kern w:val="0"/>
          <w:sz w:val="32"/>
          <w:szCs w:val="32"/>
          <w:lang w:bidi="ar"/>
        </w:rPr>
        <w:t>不定期对职业培训机构进行实地检查。</w:t>
      </w:r>
    </w:p>
    <w:p>
      <w:pPr>
        <w:adjustRightInd w:val="0"/>
        <w:snapToGrid w:val="0"/>
        <w:spacing w:line="570" w:lineRule="exact"/>
        <w:ind w:firstLine="624" w:firstLineChars="200"/>
        <w:outlineLvl w:val="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adjustRightInd w:val="0"/>
        <w:snapToGrid w:val="0"/>
        <w:spacing w:line="570" w:lineRule="exact"/>
        <w:ind w:firstLine="627" w:firstLineChars="200"/>
        <w:outlineLvl w:val="0"/>
        <w:rPr>
          <w:rStyle w:val="19"/>
          <w:rFonts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本项目共设置一级指标3个，二级指标6个，三级指标17个，其中已完成三级指标12个，指标完成率为87.7%。</w:t>
      </w:r>
    </w:p>
    <w:p>
      <w:pPr>
        <w:tabs>
          <w:tab w:val="left" w:pos="1187"/>
        </w:tabs>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职业培训未完成原因分析：由于职业培训启动较晚，大多数人员已外出务工。</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村级惠民生项目未完成分析：项目调整到乡镇，乡镇在做项目计划时超出预算，导致项目没有如期实施。</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仿宋_GB2312" w:hAnsi="仿宋" w:eastAsia="仿宋_GB2312"/>
          <w:bCs/>
          <w:spacing w:val="-4"/>
          <w:sz w:val="32"/>
          <w:szCs w:val="32"/>
        </w:rPr>
      </w:pPr>
      <w:r>
        <w:rPr>
          <w:rFonts w:hint="eastAsia" w:ascii="仿宋_GB2312" w:hAnsi="仿宋_GB2312" w:eastAsia="仿宋_GB2312" w:cs="仿宋_GB2312"/>
          <w:color w:val="000000"/>
          <w:sz w:val="32"/>
          <w:szCs w:val="32"/>
          <w:lang w:bidi="ar"/>
        </w:rPr>
        <w:t>本项目预算资金39.2万元，执行率94%，得分9.4分；</w:t>
      </w:r>
      <w:r>
        <w:rPr>
          <w:rFonts w:hint="eastAsia" w:ascii="仿宋_GB2312" w:hAnsi="仿宋_GB2312" w:eastAsia="仿宋_GB2312" w:cs="仿宋_GB2312"/>
          <w:bCs/>
          <w:color w:val="000000"/>
          <w:sz w:val="32"/>
          <w:szCs w:val="32"/>
        </w:rPr>
        <w:t>产出指标全部完成，得分45分；效益指标完成较好，得分26分；满意度指标达到90%以上，得分8分；</w:t>
      </w:r>
      <w:r>
        <w:rPr>
          <w:rFonts w:hint="eastAsia" w:ascii="仿宋_GB2312" w:hAnsi="仿宋_GB2312" w:eastAsia="仿宋_GB2312" w:cs="仿宋_GB2312"/>
          <w:color w:val="000000"/>
          <w:sz w:val="32"/>
          <w:szCs w:val="32"/>
          <w:lang w:bidi="ar"/>
        </w:rPr>
        <w:t>本次自评总分88.4分，总体评价为“良好”。</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后续计划继续加大就业资金宣传力度，加强与企业沟通，加强企业聘用人员技能培训，加强农村转移就业技能培训，让我县更多的农村贫困人员走出家门，到本地、外地就业，早日脱贫。</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1．主要经验及做法</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（1）领导重视是管理、使用好扶持公共就业、创新创业带动就业专项资金的根本前提。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（2）落实工作目标和责任，切实将扶持公共就业、创新创业带动就业专项资金用到刀刃上。</w:t>
      </w:r>
    </w:p>
    <w:p>
      <w:pPr>
        <w:pStyle w:val="16"/>
        <w:widowControl/>
        <w:spacing w:beforeAutospacing="0" w:afterAutospacing="0" w:line="570" w:lineRule="exact"/>
        <w:ind w:firstLine="627" w:firstLineChars="200"/>
        <w:jc w:val="both"/>
        <w:rPr>
          <w:rFonts w:ascii="仿宋" w:hAnsi="仿宋" w:eastAsia="仿宋"/>
          <w:b/>
          <w:bCs/>
          <w:spacing w:val="-4"/>
          <w:sz w:val="32"/>
          <w:szCs w:val="32"/>
        </w:rPr>
      </w:pPr>
      <w:r>
        <w:rPr>
          <w:rFonts w:hint="eastAsia" w:ascii="仿宋" w:hAnsi="仿宋" w:eastAsia="仿宋"/>
          <w:b/>
          <w:bCs/>
          <w:spacing w:val="-4"/>
          <w:sz w:val="32"/>
          <w:szCs w:val="32"/>
        </w:rPr>
        <w:t>2．存在的问题</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（1）就业形式依然非常严峻。“4050”人员受年龄、技能、就业观念等因素的影响，就业能力较弱，扶持再就业的任务很重。此外大中专院校毕业生和失业一年以上人员的就业问题也日益艰巨。</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（2）地方财政配套资金有限，造成扶持公共就业、创新创业带动就业专项资金投入力度不够大，制约了我县就业、创业工作发展。</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（3）对农村剩余劳动力特别是农村建档立卡的贫困劳动力技能培训应加大培训力度，从技术予以扶持，真正达到就业扶贫的目的。</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3．建议</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无。</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adjustRightInd w:val="0"/>
        <w:snapToGrid w:val="0"/>
        <w:spacing w:line="57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2018年度全县安排的就业补助专项资金始终围绕改革、发展的大局，以建立适应社会主义市场经济体制要求的就业机制和实现充分就业为目标，实施积极的就业政策，多渠道开发就业岗位，努力改善就业环境，支持劳动者自谋职业和自主创业，鼓励企事业单位更多吸纳就业，帮助困难群体就业，努力完善城乡就业服务体系，为市场改革和经济发展、保持社会</w:t>
      </w:r>
      <w:r>
        <w:rPr>
          <w:rFonts w:hint="eastAsia" w:ascii="仿宋_GB2312" w:hAnsi="仿宋" w:eastAsia="仿宋_GB2312"/>
          <w:bCs/>
          <w:spacing w:val="-4"/>
          <w:kern w:val="2"/>
          <w:sz w:val="32"/>
          <w:szCs w:val="32"/>
          <w:lang w:eastAsia="zh-CN"/>
        </w:rPr>
        <w:t>和谐</w:t>
      </w:r>
      <w:bookmarkStart w:id="0" w:name="_GoBack"/>
      <w:bookmarkEnd w:id="0"/>
      <w:r>
        <w:rPr>
          <w:rFonts w:hint="eastAsia" w:ascii="仿宋_GB2312" w:hAnsi="仿宋" w:eastAsia="仿宋_GB2312"/>
          <w:bCs/>
          <w:spacing w:val="-4"/>
          <w:kern w:val="2"/>
          <w:sz w:val="32"/>
          <w:szCs w:val="32"/>
        </w:rPr>
        <w:t>创造良好的条件。</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项目评价自评等级为：优秀。</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7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《项目支出绩效目标自评表》</w:t>
      </w:r>
    </w:p>
    <w:p>
      <w:pPr>
        <w:adjustRightInd w:val="0"/>
        <w:snapToGrid w:val="0"/>
        <w:spacing w:line="570" w:lineRule="exact"/>
        <w:ind w:firstLine="624" w:firstLineChars="200"/>
        <w:jc w:val="right"/>
        <w:rPr>
          <w:rStyle w:val="19"/>
          <w:rFonts w:hint="eastAsia" w:ascii="仿宋_GB2312" w:hAnsi="仿宋" w:eastAsia="仿宋_GB2312"/>
          <w:b w:val="0"/>
          <w:spacing w:val="-4"/>
          <w:sz w:val="32"/>
          <w:szCs w:val="32"/>
        </w:rPr>
      </w:pPr>
      <w:r>
        <w:rPr>
          <w:rStyle w:val="19"/>
          <w:rFonts w:hint="eastAsia" w:ascii="仿宋_GB2312" w:hAnsi="仿宋" w:eastAsia="仿宋_GB2312"/>
          <w:b w:val="0"/>
          <w:spacing w:val="-4"/>
          <w:sz w:val="32"/>
          <w:szCs w:val="32"/>
        </w:rPr>
        <w:t>英吉沙县芒辛镇人民政府</w:t>
      </w:r>
    </w:p>
    <w:p>
      <w:pPr>
        <w:adjustRightInd w:val="0"/>
        <w:snapToGrid w:val="0"/>
        <w:spacing w:line="570" w:lineRule="exact"/>
        <w:ind w:firstLine="624" w:firstLineChars="200"/>
        <w:jc w:val="right"/>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2018年12月21日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693F2"/>
    <w:multiLevelType w:val="singleLevel"/>
    <w:tmpl w:val="DAB693F2"/>
    <w:lvl w:ilvl="0" w:tentative="0">
      <w:start w:val="2"/>
      <w:numFmt w:val="chineseCounting"/>
      <w:suff w:val="nothing"/>
      <w:lvlText w:val="（%1）"/>
      <w:lvlJc w:val="left"/>
      <w:rPr>
        <w:rFonts w:hint="eastAsia"/>
      </w:rPr>
    </w:lvl>
  </w:abstractNum>
  <w:abstractNum w:abstractNumId="1">
    <w:nsid w:val="77D40A65"/>
    <w:multiLevelType w:val="singleLevel"/>
    <w:tmpl w:val="77D40A6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13A3F"/>
    <w:rsid w:val="0024095C"/>
    <w:rsid w:val="002A2532"/>
    <w:rsid w:val="002A2D76"/>
    <w:rsid w:val="00360BC9"/>
    <w:rsid w:val="00365250"/>
    <w:rsid w:val="0036624C"/>
    <w:rsid w:val="00385849"/>
    <w:rsid w:val="004F0DF6"/>
    <w:rsid w:val="0050167F"/>
    <w:rsid w:val="00514506"/>
    <w:rsid w:val="005162F1"/>
    <w:rsid w:val="00516E80"/>
    <w:rsid w:val="00535153"/>
    <w:rsid w:val="00567E28"/>
    <w:rsid w:val="00575CFE"/>
    <w:rsid w:val="00583AFC"/>
    <w:rsid w:val="00592D09"/>
    <w:rsid w:val="005C0836"/>
    <w:rsid w:val="00675D58"/>
    <w:rsid w:val="006F2E6D"/>
    <w:rsid w:val="007218B8"/>
    <w:rsid w:val="00755C6A"/>
    <w:rsid w:val="00785FDE"/>
    <w:rsid w:val="007A0351"/>
    <w:rsid w:val="007A14BC"/>
    <w:rsid w:val="007C1025"/>
    <w:rsid w:val="007E604A"/>
    <w:rsid w:val="007E6845"/>
    <w:rsid w:val="007F5F8A"/>
    <w:rsid w:val="00826CA1"/>
    <w:rsid w:val="00835B7F"/>
    <w:rsid w:val="00855E3A"/>
    <w:rsid w:val="008A51A8"/>
    <w:rsid w:val="00922CB9"/>
    <w:rsid w:val="009350F7"/>
    <w:rsid w:val="009B526F"/>
    <w:rsid w:val="009C1AFD"/>
    <w:rsid w:val="00A26421"/>
    <w:rsid w:val="00A4293B"/>
    <w:rsid w:val="00A83BD5"/>
    <w:rsid w:val="00A977DF"/>
    <w:rsid w:val="00AA41AA"/>
    <w:rsid w:val="00AE6A23"/>
    <w:rsid w:val="00B06CA5"/>
    <w:rsid w:val="00B41F61"/>
    <w:rsid w:val="00B55332"/>
    <w:rsid w:val="00B86E8C"/>
    <w:rsid w:val="00BE1A00"/>
    <w:rsid w:val="00C00B44"/>
    <w:rsid w:val="00C22CF0"/>
    <w:rsid w:val="00C4032B"/>
    <w:rsid w:val="00C56C72"/>
    <w:rsid w:val="00C873BA"/>
    <w:rsid w:val="00CA6457"/>
    <w:rsid w:val="00CC6E4D"/>
    <w:rsid w:val="00D17F2E"/>
    <w:rsid w:val="00D46194"/>
    <w:rsid w:val="00E01293"/>
    <w:rsid w:val="00E027D1"/>
    <w:rsid w:val="00E330D9"/>
    <w:rsid w:val="00E769FE"/>
    <w:rsid w:val="00EA2CBE"/>
    <w:rsid w:val="00F01DDA"/>
    <w:rsid w:val="00F32FEE"/>
    <w:rsid w:val="00F53E69"/>
    <w:rsid w:val="00F65FFC"/>
    <w:rsid w:val="130025A2"/>
    <w:rsid w:val="16591E7A"/>
    <w:rsid w:val="22665A31"/>
    <w:rsid w:val="25F93414"/>
    <w:rsid w:val="2DA77585"/>
    <w:rsid w:val="4AFF6E70"/>
    <w:rsid w:val="4E755EDA"/>
    <w:rsid w:val="5D897BE8"/>
    <w:rsid w:val="60123AE9"/>
    <w:rsid w:val="652B535F"/>
    <w:rsid w:val="796C5523"/>
    <w:rsid w:val="7A513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22">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qFormat/>
    <w:uiPriority w:val="99"/>
    <w:rPr>
      <w:rFonts w:ascii="宋体"/>
      <w:sz w:val="18"/>
      <w:szCs w:val="18"/>
    </w:rPr>
  </w:style>
  <w:style w:type="paragraph" w:styleId="12">
    <w:name w:val="Balloon Text"/>
    <w:basedOn w:val="1"/>
    <w:link w:val="49"/>
    <w:semiHidden/>
    <w:unhideWhenUsed/>
    <w:qFormat/>
    <w:uiPriority w:val="99"/>
    <w:rPr>
      <w:sz w:val="18"/>
      <w:szCs w:val="18"/>
    </w:rPr>
  </w:style>
  <w:style w:type="paragraph" w:styleId="13">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qFormat/>
    <w:uiPriority w:val="99"/>
    <w:pPr>
      <w:spacing w:beforeAutospacing="1" w:afterAutospacing="1"/>
      <w:jc w:val="left"/>
    </w:pPr>
    <w:rPr>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qFormat/>
    <w:uiPriority w:val="99"/>
    <w:rPr>
      <w:color w:val="0000FF"/>
      <w:u w:val="single"/>
    </w:rPr>
  </w:style>
  <w:style w:type="character" w:customStyle="1" w:styleId="23">
    <w:name w:val="标题 1 Char"/>
    <w:basedOn w:val="18"/>
    <w:link w:val="2"/>
    <w:qFormat/>
    <w:uiPriority w:val="9"/>
    <w:rPr>
      <w:rFonts w:asciiTheme="majorHAnsi" w:hAnsiTheme="majorHAnsi" w:eastAsiaTheme="majorEastAsia"/>
      <w:b/>
      <w:bCs/>
      <w:kern w:val="32"/>
      <w:sz w:val="32"/>
      <w:szCs w:val="32"/>
    </w:rPr>
  </w:style>
  <w:style w:type="character" w:customStyle="1" w:styleId="24">
    <w:name w:val="标题 2 Char"/>
    <w:basedOn w:val="18"/>
    <w:link w:val="3"/>
    <w:semiHidden/>
    <w:qFormat/>
    <w:uiPriority w:val="9"/>
    <w:rPr>
      <w:rFonts w:asciiTheme="majorHAnsi" w:hAnsiTheme="majorHAnsi" w:eastAsiaTheme="majorEastAsia"/>
      <w:b/>
      <w:bCs/>
      <w:i/>
      <w:iCs/>
      <w:sz w:val="28"/>
      <w:szCs w:val="28"/>
    </w:rPr>
  </w:style>
  <w:style w:type="character" w:customStyle="1" w:styleId="25">
    <w:name w:val="标题 3 Char"/>
    <w:basedOn w:val="18"/>
    <w:link w:val="4"/>
    <w:semiHidden/>
    <w:qFormat/>
    <w:uiPriority w:val="9"/>
    <w:rPr>
      <w:rFonts w:asciiTheme="majorHAnsi" w:hAnsiTheme="majorHAnsi" w:eastAsiaTheme="majorEastAsia"/>
      <w:b/>
      <w:bCs/>
      <w:sz w:val="26"/>
      <w:szCs w:val="26"/>
    </w:rPr>
  </w:style>
  <w:style w:type="character" w:customStyle="1" w:styleId="26">
    <w:name w:val="标题 4 Char"/>
    <w:basedOn w:val="18"/>
    <w:link w:val="5"/>
    <w:semiHidden/>
    <w:qFormat/>
    <w:uiPriority w:val="9"/>
    <w:rPr>
      <w:b/>
      <w:bCs/>
      <w:sz w:val="28"/>
      <w:szCs w:val="28"/>
    </w:rPr>
  </w:style>
  <w:style w:type="character" w:customStyle="1" w:styleId="27">
    <w:name w:val="标题 5 Char"/>
    <w:basedOn w:val="18"/>
    <w:link w:val="6"/>
    <w:semiHidden/>
    <w:uiPriority w:val="9"/>
    <w:rPr>
      <w:b/>
      <w:bCs/>
      <w:i/>
      <w:iCs/>
      <w:sz w:val="26"/>
      <w:szCs w:val="26"/>
    </w:rPr>
  </w:style>
  <w:style w:type="character" w:customStyle="1" w:styleId="28">
    <w:name w:val="标题 6 Char"/>
    <w:basedOn w:val="18"/>
    <w:link w:val="7"/>
    <w:semiHidden/>
    <w:qFormat/>
    <w:uiPriority w:val="9"/>
    <w:rPr>
      <w:b/>
      <w:bCs/>
    </w:rPr>
  </w:style>
  <w:style w:type="character" w:customStyle="1" w:styleId="29">
    <w:name w:val="标题 7 Char"/>
    <w:basedOn w:val="18"/>
    <w:link w:val="8"/>
    <w:semiHidden/>
    <w:qFormat/>
    <w:uiPriority w:val="9"/>
    <w:rPr>
      <w:sz w:val="24"/>
      <w:szCs w:val="24"/>
    </w:rPr>
  </w:style>
  <w:style w:type="character" w:customStyle="1" w:styleId="30">
    <w:name w:val="标题 8 Char"/>
    <w:basedOn w:val="18"/>
    <w:link w:val="9"/>
    <w:semiHidden/>
    <w:qFormat/>
    <w:uiPriority w:val="9"/>
    <w:rPr>
      <w:i/>
      <w:iCs/>
      <w:sz w:val="24"/>
      <w:szCs w:val="24"/>
    </w:rPr>
  </w:style>
  <w:style w:type="character" w:customStyle="1" w:styleId="31">
    <w:name w:val="标题 9 Char"/>
    <w:basedOn w:val="18"/>
    <w:link w:val="10"/>
    <w:semiHidden/>
    <w:qFormat/>
    <w:uiPriority w:val="9"/>
    <w:rPr>
      <w:rFonts w:asciiTheme="majorHAnsi" w:hAnsiTheme="majorHAnsi" w:eastAsiaTheme="majorEastAsia"/>
    </w:rPr>
  </w:style>
  <w:style w:type="character" w:customStyle="1" w:styleId="32">
    <w:name w:val="标题 Char"/>
    <w:basedOn w:val="18"/>
    <w:link w:val="17"/>
    <w:qFormat/>
    <w:uiPriority w:val="10"/>
    <w:rPr>
      <w:rFonts w:asciiTheme="majorHAnsi" w:hAnsiTheme="majorHAnsi" w:eastAsiaTheme="majorEastAsia"/>
      <w:b/>
      <w:bCs/>
      <w:kern w:val="28"/>
      <w:sz w:val="32"/>
      <w:szCs w:val="32"/>
    </w:rPr>
  </w:style>
  <w:style w:type="character" w:customStyle="1" w:styleId="33">
    <w:name w:val="副标题 Char"/>
    <w:basedOn w:val="18"/>
    <w:link w:val="15"/>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8"/>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8"/>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18"/>
    <w:qFormat/>
    <w:uiPriority w:val="21"/>
    <w:rPr>
      <w:b/>
      <w:i/>
      <w:sz w:val="24"/>
      <w:szCs w:val="24"/>
      <w:u w:val="single"/>
    </w:rPr>
  </w:style>
  <w:style w:type="character" w:customStyle="1" w:styleId="42">
    <w:name w:val="不明显参考1"/>
    <w:basedOn w:val="18"/>
    <w:qFormat/>
    <w:uiPriority w:val="31"/>
    <w:rPr>
      <w:sz w:val="24"/>
      <w:szCs w:val="24"/>
      <w:u w:val="single"/>
    </w:rPr>
  </w:style>
  <w:style w:type="character" w:customStyle="1" w:styleId="43">
    <w:name w:val="明显参考1"/>
    <w:basedOn w:val="18"/>
    <w:qFormat/>
    <w:uiPriority w:val="32"/>
    <w:rPr>
      <w:b/>
      <w:sz w:val="24"/>
      <w:u w:val="single"/>
    </w:rPr>
  </w:style>
  <w:style w:type="character" w:customStyle="1" w:styleId="44">
    <w:name w:val="书籍标题1"/>
    <w:basedOn w:val="18"/>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18"/>
    <w:link w:val="14"/>
    <w:qFormat/>
    <w:uiPriority w:val="99"/>
    <w:rPr>
      <w:rFonts w:ascii="Calibri" w:hAnsi="Calibri" w:eastAsia="宋体"/>
      <w:kern w:val="2"/>
      <w:sz w:val="18"/>
      <w:szCs w:val="18"/>
    </w:rPr>
  </w:style>
  <w:style w:type="character" w:customStyle="1" w:styleId="47">
    <w:name w:val="页脚 Char"/>
    <w:basedOn w:val="18"/>
    <w:link w:val="13"/>
    <w:qFormat/>
    <w:uiPriority w:val="99"/>
    <w:rPr>
      <w:rFonts w:ascii="Calibri" w:hAnsi="Calibri" w:eastAsia="宋体"/>
      <w:kern w:val="2"/>
      <w:sz w:val="18"/>
      <w:szCs w:val="18"/>
    </w:rPr>
  </w:style>
  <w:style w:type="character" w:customStyle="1" w:styleId="48">
    <w:name w:val="文档结构图 Char"/>
    <w:basedOn w:val="18"/>
    <w:link w:val="11"/>
    <w:semiHidden/>
    <w:qFormat/>
    <w:uiPriority w:val="99"/>
    <w:rPr>
      <w:rFonts w:ascii="宋体" w:hAnsi="Times New Roman" w:eastAsia="宋体"/>
      <w:kern w:val="2"/>
      <w:sz w:val="18"/>
      <w:szCs w:val="18"/>
    </w:rPr>
  </w:style>
  <w:style w:type="character" w:customStyle="1" w:styleId="49">
    <w:name w:val="批注框文本 Char"/>
    <w:basedOn w:val="18"/>
    <w:link w:val="12"/>
    <w:semiHidden/>
    <w:qFormat/>
    <w:uiPriority w:val="99"/>
    <w:rPr>
      <w:rFonts w:ascii="Times New Roman" w:hAnsi="Times New Roman" w:eastAsia="宋体"/>
      <w:kern w:val="2"/>
      <w:sz w:val="18"/>
      <w:szCs w:val="18"/>
    </w:rPr>
  </w:style>
  <w:style w:type="paragraph" w:customStyle="1" w:styleId="50">
    <w:name w:val="正文 A"/>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51">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C0573-0804-4FD5-BE05-4EFB7CEC8CF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344</Words>
  <Characters>1961</Characters>
  <Lines>16</Lines>
  <Paragraphs>4</Paragraphs>
  <TotalTime>10</TotalTime>
  <ScaleCrop>false</ScaleCrop>
  <LinksUpToDate>false</LinksUpToDate>
  <CharactersWithSpaces>2301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2019-02-25T08:11:00Z</dcterms:created>
  <dc:creator>赵 恺（预算处）</dc:creator>
  <cp:lastModifiedBy>Administrator</cp:lastModifiedBy>
  <cp:lastPrinted>2018-12-17T10:15:00Z</cp:lastPrinted>
  <dcterms:modified xsi:type="dcterms:W3CDTF">2019-09-16T12:04:05Z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